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544"/>
        <w:gridCol w:w="5544"/>
      </w:tblGrid>
      <w:tr>
        <w:tc>
          <w:tcPr>
            <w:tcW w:type="dxa" w:w="734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after="40"/>
              <w:jc w:val="left"/>
            </w:pPr>
            <w:r>
              <w:rPr>
                <w:rFonts w:ascii="Arial" w:hAnsi="Arial"/>
                <w:b/>
                <w:color w:val="1A365D"/>
                <w:sz w:val="40"/>
              </w:rPr>
              <w:t>HOSEIN HAYATI</w:t>
            </w:r>
          </w:p>
          <w:p>
            <w:pPr>
              <w:spacing w:after="200"/>
              <w:jc w:val="left"/>
            </w:pPr>
            <w:r>
              <w:rPr>
                <w:rFonts w:ascii="Arial" w:hAnsi="Arial"/>
                <w:b/>
                <w:color w:val="718096"/>
                <w:sz w:val="20"/>
              </w:rPr>
              <w:t>Senior .NET Backend Engineer  |  Wallets, Ledgers &amp; Insurance Core Systems</w:t>
            </w:r>
          </w:p>
          <w:p>
            <w:pPr>
              <w:spacing w:before="240" w:after="80"/>
              <w:jc w:val="left"/>
              <w:pBdr>
                <w:bottom w:val="single" w:sz="6" w:space="2" w:color="1A365D"/>
              </w:pBdr>
            </w:pPr>
            <w:r>
              <w:rPr>
                <w:rFonts w:ascii="Arial" w:hAnsi="Arial"/>
                <w:b/>
                <w:color w:val="1A365D"/>
                <w:sz w:val="22"/>
              </w:rPr>
              <w:t>SUMMARY</w:t>
            </w:r>
          </w:p>
          <w:p>
            <w:pPr>
              <w:spacing w:after="160" w:line="276" w:lineRule="auto"/>
              <w:jc w:val="left"/>
            </w:pPr>
            <w:r>
              <w:rPr>
                <w:rFonts w:ascii="Arial" w:hAnsi="Arial"/>
                <w:b w:val="0"/>
                <w:color w:val="2D3748"/>
                <w:sz w:val="19"/>
              </w:rPr>
              <w:t>I work on systems where mistakes are expensive. Seven years on wallets, ledgers and insurance platforms where a rounding error is a real person's real money. As the sole developer, I took a digital wallet from a half-finished codebase to production, where it processed 200+ billion Toman in roughly two years. I work with Clean Architecture, DDD and CQRS because in practice they keep the cost of change low.</w:t>
            </w:r>
          </w:p>
          <w:p>
            <w:pPr>
              <w:spacing w:before="240" w:after="80"/>
              <w:jc w:val="left"/>
              <w:pBdr>
                <w:bottom w:val="single" w:sz="6" w:space="2" w:color="1A365D"/>
              </w:pBdr>
            </w:pPr>
            <w:r>
              <w:rPr>
                <w:rFonts w:ascii="Arial" w:hAnsi="Arial"/>
                <w:b/>
                <w:color w:val="1A365D"/>
                <w:sz w:val="22"/>
              </w:rPr>
              <w:t>EXPERIENCE</w:t>
            </w:r>
          </w:p>
          <w:p>
            <w:pPr>
              <w:spacing w:before="160" w:after="40"/>
              <w:jc w:val="left"/>
            </w:pPr>
            <w:r>
              <w:rPr>
                <w:rFonts w:ascii="Arial" w:hAnsi="Arial"/>
                <w:b/>
                <w:color w:val="1A365D"/>
                <w:sz w:val="21"/>
              </w:rPr>
              <w:t>Senior Backend Developer</w:t>
            </w:r>
          </w:p>
          <w:p>
            <w:pPr>
              <w:spacing w:after="80"/>
              <w:jc w:val="left"/>
            </w:pPr>
            <w:r>
              <w:rPr>
                <w:rFonts w:ascii="Arial" w:hAnsi="Arial"/>
                <w:b/>
                <w:color w:val="718096"/>
                <w:sz w:val="18"/>
              </w:rPr>
              <w:t>Saman Insurance  |  Jul 2023 – Present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Sole owner of the company's digital wallet — 200+ billion Toman processed in ~2 years.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Ledger as the single source of truth — every balance a user sees is reconstructable from recorded transactions, not from a cached column.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Money as a value object (amount + currency + rules) instead of a bare decimal, so cross-currency and negative-amount errors fail loudly at the domain boundary.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Idempotency across payment-gateway callbacks and user retries — duplicate callbacks and double-clicks no longer create duplicate money.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Concurrency control on balance mutation, eliminating a race condition that duplicated funds in early staging.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Automated nightly reconciliation, written after one manual mismatch investigation cost three days.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Structured logging with Serilog + ELK; transaction monitoring dashboard for the operations team.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Pattern-based detection for abnormal transaction bursts.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Two wallet types (credit and cash) with independent business rules; gateway deposits, referral credit, withdrawal, P2P transfer.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Payment-gateway integration built as a separate service with explicit failure paths.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Absorbed 10x growth in transaction volume via query tuning, Redis caching and background jobs.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Onboarded the six-engineer team that later took the system over, via a documentation sprint covering business rules, deployment and troubleshooting.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Gold Unit-Link — event-driven microservices (.NET 6, DDD).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Darmanat — ASP.NET MVC / ADO.NET: new features, custom metrics, Grafana dashboards.</w:t>
            </w:r>
          </w:p>
          <w:p>
            <w:pPr>
              <w:spacing w:before="160" w:after="40"/>
              <w:jc w:val="left"/>
            </w:pPr>
            <w:r>
              <w:rPr>
                <w:rFonts w:ascii="Arial" w:hAnsi="Arial"/>
                <w:b/>
                <w:color w:val="1A365D"/>
                <w:sz w:val="21"/>
              </w:rPr>
              <w:t>Founder &amp; Sole Engineer</w:t>
            </w:r>
          </w:p>
          <w:p>
            <w:pPr>
              <w:spacing w:after="80"/>
              <w:jc w:val="left"/>
            </w:pPr>
            <w:r>
              <w:rPr>
                <w:rFonts w:ascii="Arial" w:hAnsi="Arial"/>
                <w:b/>
                <w:color w:val="718096"/>
                <w:sz w:val="18"/>
              </w:rPr>
              <w:t>Pishgamit (self-employed)  |  Apr 2017 – Present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A technical media platform that I built during my student years and have kept alive ever since.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Complete design, implementation, and deployment of a news/educational platform based on ASP.NET Core in a production environment with .NET 10.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Complete Monolithic architecture (MVC) with a comprehensive management dashboard (Blazor) for content management and reporting.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Nine years of maintenance taught me more about long-lived systems than any zero-to-one project.</w:t>
            </w:r>
          </w:p>
          <w:p>
            <w:pPr>
              <w:spacing w:before="160" w:after="40"/>
              <w:jc w:val="left"/>
            </w:pPr>
            <w:r>
              <w:rPr>
                <w:rFonts w:ascii="Arial" w:hAnsi="Arial"/>
                <w:b/>
                <w:color w:val="1A365D"/>
                <w:sz w:val="21"/>
              </w:rPr>
              <w:t>.NET Developer</w:t>
            </w:r>
          </w:p>
          <w:p>
            <w:pPr>
              <w:spacing w:after="80"/>
              <w:jc w:val="left"/>
            </w:pPr>
            <w:r>
              <w:rPr>
                <w:rFonts w:ascii="Arial" w:hAnsi="Arial"/>
                <w:b/>
                <w:color w:val="718096"/>
                <w:sz w:val="18"/>
              </w:rPr>
              <w:t>MehrcomTech  |  Nov 2021 – Jul 2023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Built and debugged core banking modules with a DDD-layered structure, keeping business rules out of controllers and infrastructure.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EF Core for the write model, Dapper where read performance mattered — a deliberate split rather than one ORM everywhere.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Integrated external banking services via Flurl, with retry and failure handling around calls we did not control.</w:t>
            </w:r>
          </w:p>
          <w:p>
            <w:pPr>
              <w:spacing w:before="160" w:after="40"/>
              <w:jc w:val="left"/>
            </w:pPr>
            <w:r>
              <w:rPr>
                <w:rFonts w:ascii="Arial" w:hAnsi="Arial"/>
                <w:b/>
                <w:color w:val="1A365D"/>
                <w:sz w:val="21"/>
              </w:rPr>
              <w:t>Full-Stack Web Developer</w:t>
            </w:r>
          </w:p>
          <w:p>
            <w:pPr>
              <w:spacing w:after="80"/>
              <w:jc w:val="left"/>
            </w:pPr>
            <w:r>
              <w:rPr>
                <w:rFonts w:ascii="Arial" w:hAnsi="Arial"/>
                <w:b/>
                <w:color w:val="718096"/>
                <w:sz w:val="18"/>
              </w:rPr>
              <w:t>Saipa  |  Oct 2020 – Oct 2021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Rebuilt legacy Oracle Forms workflows as an ASP.NET Core + React application used by internal operations teams.</w:t>
            </w:r>
          </w:p>
          <w:p>
            <w:pPr>
              <w:spacing w:after="40"/>
              <w:ind w:left="200"/>
              <w:jc w:val="left"/>
            </w:pPr>
            <w:r>
              <w:rPr>
                <w:rFonts w:ascii="Arial" w:hAnsi="Arial"/>
                <w:b w:val="0"/>
                <w:color w:val="2D3748"/>
                <w:sz w:val="18"/>
              </w:rPr>
              <w:t>•  Delivered the full slice — API, data access, UI (Kendo UI) and reporting (Stimulsoft) — rather than a single layer.</w:t>
            </w:r>
          </w:p>
        </w:tc>
        <w:tc>
          <w:tcPr>
            <w:tcW w:type="dxa" w:w="3456"/>
            <w:shd w:fill="F4F6F9"/>
            <w:tcMar>
              <w:top w:w="100" w:type="dxa"/>
              <w:bottom w:w="100" w:type="dxa"/>
              <w:left w:w="150" w:type="dxa"/>
              <w:right w:w="150" w:type="dxa"/>
            </w:tcMar>
          </w:tcPr>
          <w:p/>
          <w:p>
            <w:pPr>
              <w:spacing w:before="240" w:after="80"/>
              <w:jc w:val="left"/>
              <w:pBdr>
                <w:bottom w:val="single" w:sz="6" w:space="2" w:color="1A365D"/>
              </w:pBdr>
            </w:pPr>
            <w:r>
              <w:rPr>
                <w:rFonts w:ascii="Arial" w:hAnsi="Arial"/>
                <w:b/>
                <w:color w:val="1A365D"/>
                <w:sz w:val="22"/>
              </w:rPr>
              <w:t>CONTACT</w:t>
            </w:r>
          </w:p>
          <w:p>
            <w:pPr>
              <w:spacing w:after="60"/>
              <w:jc w:val="left"/>
            </w:pPr>
            <w:r>
              <w:rPr>
                <w:rFonts w:ascii="Arial" w:hAnsi="Arial"/>
                <w:b/>
                <w:color w:val="1A365D"/>
                <w:sz w:val="17"/>
              </w:rPr>
              <w:t xml:space="preserve">Location: </w:t>
            </w:r>
            <w:r>
              <w:rPr>
                <w:color w:val="2D3748"/>
                <w:sz w:val="17"/>
              </w:rPr>
              <w:t>Tehran, Iran</w:t>
            </w:r>
          </w:p>
          <w:p>
            <w:pPr>
              <w:spacing w:after="60"/>
              <w:jc w:val="left"/>
            </w:pPr>
            <w:r>
              <w:rPr>
                <w:rFonts w:ascii="Arial" w:hAnsi="Arial"/>
                <w:b/>
                <w:color w:val="1A365D"/>
                <w:sz w:val="17"/>
              </w:rPr>
              <w:t xml:space="preserve">Phone: </w:t>
            </w:r>
            <w:r>
              <w:rPr>
                <w:color w:val="2D3748"/>
                <w:sz w:val="17"/>
              </w:rPr>
              <w:t>+98 921 675 8318</w:t>
            </w:r>
          </w:p>
          <w:p>
            <w:pPr>
              <w:spacing w:after="60"/>
              <w:jc w:val="left"/>
            </w:pPr>
            <w:r>
              <w:rPr>
                <w:rFonts w:ascii="Arial" w:hAnsi="Arial"/>
                <w:b/>
                <w:color w:val="1A365D"/>
                <w:sz w:val="17"/>
              </w:rPr>
              <w:t xml:space="preserve">Email: </w:t>
            </w:r>
            <w:r>
              <w:rPr>
                <w:color w:val="2D3748"/>
                <w:sz w:val="17"/>
              </w:rPr>
              <w:t>hoseinhayati.ir@gmail.com</w:t>
            </w:r>
          </w:p>
          <w:p>
            <w:pPr>
              <w:spacing w:after="60"/>
              <w:jc w:val="left"/>
            </w:pPr>
            <w:r>
              <w:rPr>
                <w:rFonts w:ascii="Arial" w:hAnsi="Arial"/>
                <w:b/>
                <w:color w:val="1A365D"/>
                <w:sz w:val="17"/>
              </w:rPr>
              <w:t xml:space="preserve">Website: </w:t>
            </w:r>
            <w:r>
              <w:rPr>
                <w:color w:val="2D3748"/>
                <w:sz w:val="17"/>
              </w:rPr>
              <w:t>hoseinhayati.ir</w:t>
            </w:r>
          </w:p>
          <w:p>
            <w:pPr>
              <w:spacing w:after="60"/>
              <w:jc w:val="left"/>
            </w:pPr>
            <w:r>
              <w:rPr>
                <w:rFonts w:ascii="Arial" w:hAnsi="Arial"/>
                <w:b/>
                <w:color w:val="1A365D"/>
                <w:sz w:val="17"/>
              </w:rPr>
              <w:t xml:space="preserve">LinkedIn: </w:t>
            </w:r>
            <w:r>
              <w:rPr>
                <w:color w:val="2D3748"/>
                <w:sz w:val="17"/>
              </w:rPr>
              <w:t>linkedin.com/in/hosein-hayati</w:t>
            </w:r>
          </w:p>
          <w:p>
            <w:pPr>
              <w:spacing w:after="60"/>
              <w:jc w:val="left"/>
            </w:pPr>
            <w:r>
              <w:rPr>
                <w:rFonts w:ascii="Arial" w:hAnsi="Arial"/>
                <w:b/>
                <w:color w:val="1A365D"/>
                <w:sz w:val="17"/>
              </w:rPr>
              <w:t xml:space="preserve">GitHub: </w:t>
            </w:r>
            <w:r>
              <w:rPr>
                <w:color w:val="2D3748"/>
                <w:sz w:val="17"/>
              </w:rPr>
              <w:t>github.com/Hoseinhayati</w:t>
            </w:r>
          </w:p>
          <w:p>
            <w:pPr>
              <w:spacing w:before="240" w:after="80"/>
              <w:jc w:val="left"/>
              <w:pBdr>
                <w:bottom w:val="single" w:sz="6" w:space="2" w:color="1A365D"/>
              </w:pBdr>
            </w:pPr>
            <w:r>
              <w:rPr>
                <w:rFonts w:ascii="Arial" w:hAnsi="Arial"/>
                <w:b/>
                <w:color w:val="1A365D"/>
                <w:sz w:val="22"/>
              </w:rPr>
              <w:t>TECHNICAL SKILLS</w:t>
            </w:r>
          </w:p>
          <w:p>
            <w:pPr>
              <w:spacing w:before="80" w:after="40"/>
              <w:jc w:val="left"/>
            </w:pPr>
            <w:r>
              <w:rPr>
                <w:rFonts w:ascii="Arial" w:hAnsi="Arial"/>
                <w:b/>
                <w:color w:val="1A365D"/>
                <w:sz w:val="18"/>
              </w:rPr>
              <w:t>Languages &amp; Frameworks:</w:t>
            </w:r>
          </w:p>
          <w:p>
            <w:pPr>
              <w:spacing w:after="80"/>
              <w:jc w:val="left"/>
            </w:pPr>
            <w:r>
              <w:rPr>
                <w:rFonts w:ascii="Arial" w:hAnsi="Arial"/>
                <w:b w:val="0"/>
                <w:color w:val="2D3748"/>
                <w:sz w:val="17"/>
              </w:rPr>
              <w:t>C#, .NET 8, ASP.NET Core, ASP.NET MVC, Blazor, React</w:t>
            </w:r>
          </w:p>
          <w:p>
            <w:pPr>
              <w:spacing w:before="80" w:after="40"/>
              <w:jc w:val="left"/>
            </w:pPr>
            <w:r>
              <w:rPr>
                <w:rFonts w:ascii="Arial" w:hAnsi="Arial"/>
                <w:b/>
                <w:color w:val="1A365D"/>
                <w:sz w:val="18"/>
              </w:rPr>
              <w:t>Data:</w:t>
            </w:r>
          </w:p>
          <w:p>
            <w:pPr>
              <w:spacing w:after="80"/>
              <w:jc w:val="left"/>
            </w:pPr>
            <w:r>
              <w:rPr>
                <w:rFonts w:ascii="Arial" w:hAnsi="Arial"/>
                <w:b w:val="0"/>
                <w:color w:val="2D3748"/>
                <w:sz w:val="17"/>
              </w:rPr>
              <w:t>SQL Server, T-SQL, EF Core, Dapper, MongoDB, Redis, Elasticsearch</w:t>
            </w:r>
          </w:p>
          <w:p>
            <w:pPr>
              <w:spacing w:before="80" w:after="40"/>
              <w:jc w:val="left"/>
            </w:pPr>
            <w:r>
              <w:rPr>
                <w:rFonts w:ascii="Arial" w:hAnsi="Arial"/>
                <w:b/>
                <w:color w:val="1A365D"/>
                <w:sz w:val="18"/>
              </w:rPr>
              <w:t>Architecture:</w:t>
            </w:r>
          </w:p>
          <w:p>
            <w:pPr>
              <w:spacing w:after="80"/>
              <w:jc w:val="left"/>
            </w:pPr>
            <w:r>
              <w:rPr>
                <w:rFonts w:ascii="Arial" w:hAnsi="Arial"/>
                <w:b w:val="0"/>
                <w:color w:val="2D3748"/>
                <w:sz w:val="17"/>
              </w:rPr>
              <w:t>Clean Architecture, DDD, CQRS, Event-Driven, Microservices, Design Patterns</w:t>
            </w:r>
          </w:p>
          <w:p>
            <w:pPr>
              <w:spacing w:before="80" w:after="40"/>
              <w:jc w:val="left"/>
            </w:pPr>
            <w:r>
              <w:rPr>
                <w:rFonts w:ascii="Arial" w:hAnsi="Arial"/>
                <w:b/>
                <w:color w:val="1A365D"/>
                <w:sz w:val="18"/>
              </w:rPr>
              <w:t>Platform:</w:t>
            </w:r>
          </w:p>
          <w:p>
            <w:pPr>
              <w:spacing w:after="80"/>
              <w:jc w:val="left"/>
            </w:pPr>
            <w:r>
              <w:rPr>
                <w:rFonts w:ascii="Arial" w:hAnsi="Arial"/>
                <w:b w:val="0"/>
                <w:color w:val="2D3748"/>
                <w:sz w:val="17"/>
              </w:rPr>
              <w:t>RabbitMQ, Docker, Serilog + ELK, Grafana, Git, Azure DevOps / TFS, IIS</w:t>
            </w:r>
          </w:p>
          <w:p>
            <w:pPr>
              <w:spacing w:before="80" w:after="40"/>
              <w:jc w:val="left"/>
            </w:pPr>
            <w:r>
              <w:rPr>
                <w:rFonts w:ascii="Arial" w:hAnsi="Arial"/>
                <w:b/>
                <w:color w:val="1A365D"/>
                <w:sz w:val="18"/>
              </w:rPr>
              <w:t>Domain:</w:t>
            </w:r>
          </w:p>
          <w:p>
            <w:pPr>
              <w:spacing w:after="80"/>
              <w:jc w:val="left"/>
            </w:pPr>
            <w:r>
              <w:rPr>
                <w:rFonts w:ascii="Arial" w:hAnsi="Arial"/>
                <w:b w:val="0"/>
                <w:color w:val="2D3748"/>
                <w:sz w:val="17"/>
              </w:rPr>
              <w:t>Ledger design, reconciliation, idempotency, payment-gateway integration, insurance issuance</w:t>
            </w:r>
          </w:p>
          <w:p>
            <w:pPr>
              <w:spacing w:before="240" w:after="80"/>
              <w:jc w:val="left"/>
              <w:pBdr>
                <w:bottom w:val="single" w:sz="6" w:space="2" w:color="1A365D"/>
              </w:pBdr>
            </w:pPr>
            <w:r>
              <w:rPr>
                <w:rFonts w:ascii="Arial" w:hAnsi="Arial"/>
                <w:b/>
                <w:color w:val="1A365D"/>
                <w:sz w:val="22"/>
              </w:rPr>
              <w:t>EDUCATION</w:t>
            </w:r>
          </w:p>
          <w:p>
            <w:pPr>
              <w:spacing w:before="80" w:after="40"/>
              <w:jc w:val="left"/>
            </w:pPr>
            <w:r>
              <w:rPr>
                <w:rFonts w:ascii="Arial" w:hAnsi="Arial"/>
                <w:b/>
                <w:color w:val="1A365D"/>
                <w:sz w:val="18"/>
              </w:rPr>
              <w:t>B.Sc. in Software Engineering</w:t>
            </w:r>
          </w:p>
          <w:p>
            <w:pPr>
              <w:spacing w:after="80"/>
              <w:jc w:val="left"/>
            </w:pPr>
            <w:r>
              <w:rPr>
                <w:rFonts w:ascii="Arial" w:hAnsi="Arial"/>
                <w:b w:val="0"/>
                <w:color w:val="2D3748"/>
                <w:sz w:val="17"/>
              </w:rPr>
              <w:t>Islamic Azad University, Mahshahr</w:t>
              <w:br/>
              <w:t>2013 – 2017</w:t>
            </w:r>
          </w:p>
          <w:p>
            <w:pPr>
              <w:spacing w:before="240" w:after="80"/>
              <w:jc w:val="left"/>
              <w:pBdr>
                <w:bottom w:val="single" w:sz="6" w:space="2" w:color="1A365D"/>
              </w:pBdr>
            </w:pPr>
            <w:r>
              <w:rPr>
                <w:rFonts w:ascii="Arial" w:hAnsi="Arial"/>
                <w:b/>
                <w:color w:val="1A365D"/>
                <w:sz w:val="22"/>
              </w:rPr>
              <w:t>LANGUAGES</w:t>
            </w:r>
          </w:p>
          <w:p>
            <w:pPr>
              <w:spacing w:after="60"/>
              <w:jc w:val="left"/>
            </w:pPr>
            <w:r>
              <w:rPr>
                <w:rFonts w:ascii="Arial" w:hAnsi="Arial"/>
                <w:b/>
                <w:color w:val="1A365D"/>
                <w:sz w:val="17"/>
              </w:rPr>
              <w:t xml:space="preserve">Persian: </w:t>
            </w:r>
            <w:r>
              <w:rPr>
                <w:color w:val="2D3748"/>
              </w:rPr>
              <w:t>Native</w:t>
              <w:br/>
            </w:r>
            <w:r>
              <w:rPr>
                <w:b/>
                <w:color w:val="1A365D"/>
              </w:rPr>
              <w:t xml:space="preserve">English: </w:t>
            </w:r>
            <w:r>
              <w:rPr>
                <w:color w:val="2D3748"/>
              </w:rPr>
              <w:t>Intermediate (Technical reading and writing)</w:t>
            </w:r>
          </w:p>
        </w:tc>
      </w:tr>
    </w:tbl>
    <w:sectPr w:rsidR="00FC693F" w:rsidRPr="0006063C" w:rsidSect="00034616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